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B71E3">
        <w:rPr>
          <w:rStyle w:val="a5"/>
          <w:rFonts w:ascii="GHEA Mariam" w:hAnsi="GHEA Mariam"/>
          <w:sz w:val="27"/>
          <w:szCs w:val="27"/>
          <w:lang w:val="hy-AM"/>
        </w:rPr>
        <w:t>32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4B71E3" w:rsidRDefault="004B71E3" w:rsidP="004B71E3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Fonts w:ascii="GHEA Mariam" w:hAnsi="GHEA Mariam"/>
          <w:b/>
          <w:color w:val="000000" w:themeColor="text1"/>
          <w:lang w:val="hy-AM"/>
        </w:rPr>
      </w:pPr>
      <w:r>
        <w:rPr>
          <w:rFonts w:ascii="GHEA Mariam" w:hAnsi="GHEA Mariam"/>
          <w:b/>
          <w:color w:val="000000" w:themeColor="text1"/>
          <w:lang w:val="hy-AM"/>
        </w:rPr>
        <w:t>ՆԱԽԱԴՊՐՈՑԱԿԱՆ ՈՒՍՈՒՄՆԱԿԱՆ ՀԱՍՏԱՏՈՒԹՅՈՒՆ ՀԱՃԱԽՈՂ ԵՐԵԽԱՆԵՐԻ ՎԱՐՁԱՎՃԱՐԸ ԶԵՂՉԵԼՈՒ ՄԱՍԻՆ</w:t>
      </w:r>
    </w:p>
    <w:p w:rsidR="004B71E3" w:rsidRDefault="004B71E3" w:rsidP="004B71E3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color w:val="000000" w:themeColor="text1"/>
          <w:lang w:val="hy-AM"/>
        </w:rPr>
      </w:pPr>
    </w:p>
    <w:p w:rsidR="004B71E3" w:rsidRDefault="004B71E3" w:rsidP="004B71E3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color w:val="000000" w:themeColor="text1"/>
          <w:lang w:val="pt-BR"/>
        </w:rPr>
      </w:pPr>
      <w:r>
        <w:rPr>
          <w:rFonts w:ascii="GHEA Mariam" w:hAnsi="GHEA Mariam"/>
          <w:color w:val="000000" w:themeColor="text1"/>
          <w:lang w:val="hy-AM"/>
        </w:rPr>
        <w:t>Ղեկավարվելով &lt;&lt;</w:t>
      </w:r>
      <w:r>
        <w:rPr>
          <w:rFonts w:ascii="GHEA Mariam" w:hAnsi="GHEA Mariam" w:cs="Sylfaen"/>
          <w:color w:val="000000" w:themeColor="text1"/>
          <w:lang w:val="hy-AM"/>
        </w:rPr>
        <w:t>Տեղական</w:t>
      </w:r>
      <w:r>
        <w:rPr>
          <w:rFonts w:ascii="GHEA Mariam" w:hAnsi="GHEA Mariam"/>
          <w:color w:val="000000" w:themeColor="text1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lang w:val="hy-AM"/>
        </w:rPr>
        <w:t>ինքնակառավարման</w:t>
      </w:r>
      <w:r>
        <w:rPr>
          <w:rFonts w:ascii="GHEA Mariam" w:hAnsi="GHEA Mariam"/>
          <w:color w:val="000000" w:themeColor="text1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lang w:val="hy-AM"/>
        </w:rPr>
        <w:t>մասին</w:t>
      </w:r>
      <w:r>
        <w:rPr>
          <w:rFonts w:ascii="GHEA Mariam" w:hAnsi="GHEA Mariam"/>
          <w:color w:val="000000" w:themeColor="text1"/>
          <w:lang w:val="hy-AM"/>
        </w:rPr>
        <w:t></w:t>
      </w:r>
      <w:r>
        <w:rPr>
          <w:rFonts w:ascii="GHEA Mariam" w:hAnsi="GHEA Mariam"/>
          <w:color w:val="000000" w:themeColor="text1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lang w:val="hy-AM"/>
        </w:rPr>
        <w:t>Հայաստանի</w:t>
      </w:r>
      <w:r>
        <w:rPr>
          <w:rFonts w:ascii="GHEA Mariam" w:hAnsi="GHEA Mariam"/>
          <w:color w:val="000000" w:themeColor="text1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lang w:val="hy-AM"/>
        </w:rPr>
        <w:t>Հանրապետության</w:t>
      </w:r>
      <w:r>
        <w:rPr>
          <w:rFonts w:ascii="GHEA Mariam" w:hAnsi="GHEA Mariam"/>
          <w:color w:val="000000" w:themeColor="text1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lang w:val="hy-AM"/>
        </w:rPr>
        <w:t>օրենքի</w:t>
      </w:r>
      <w:r>
        <w:rPr>
          <w:rFonts w:ascii="GHEA Mariam" w:hAnsi="GHEA Mariam"/>
          <w:color w:val="000000" w:themeColor="text1"/>
          <w:lang w:val="pt-BR"/>
        </w:rPr>
        <w:t xml:space="preserve"> 1</w:t>
      </w:r>
      <w:r>
        <w:rPr>
          <w:rFonts w:ascii="GHEA Mariam" w:hAnsi="GHEA Mariam"/>
          <w:color w:val="000000" w:themeColor="text1"/>
          <w:lang w:val="hy-AM"/>
        </w:rPr>
        <w:t>8</w:t>
      </w:r>
      <w:r>
        <w:rPr>
          <w:rFonts w:ascii="GHEA Mariam" w:hAnsi="GHEA Mariam"/>
          <w:color w:val="000000" w:themeColor="text1"/>
          <w:lang w:val="pt-BR"/>
        </w:rPr>
        <w:t>-</w:t>
      </w:r>
      <w:r>
        <w:rPr>
          <w:rFonts w:ascii="GHEA Mariam" w:hAnsi="GHEA Mariam" w:cs="Sylfaen"/>
          <w:color w:val="000000" w:themeColor="text1"/>
          <w:lang w:val="hy-AM"/>
        </w:rPr>
        <w:t>րդ</w:t>
      </w:r>
      <w:r>
        <w:rPr>
          <w:rFonts w:ascii="GHEA Mariam" w:hAnsi="GHEA Mariam"/>
          <w:color w:val="000000" w:themeColor="text1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lang w:val="hy-AM"/>
        </w:rPr>
        <w:t>հոդվածի</w:t>
      </w:r>
      <w:r>
        <w:rPr>
          <w:rFonts w:ascii="GHEA Mariam" w:hAnsi="GHEA Mariam"/>
          <w:color w:val="000000" w:themeColor="text1"/>
          <w:lang w:val="pt-BR"/>
        </w:rPr>
        <w:t xml:space="preserve"> </w:t>
      </w:r>
      <w:r>
        <w:rPr>
          <w:rFonts w:ascii="GHEA Mariam" w:hAnsi="GHEA Mariam"/>
          <w:color w:val="000000" w:themeColor="text1"/>
          <w:lang w:val="hy-AM"/>
        </w:rPr>
        <w:t>1-</w:t>
      </w:r>
      <w:r>
        <w:rPr>
          <w:rFonts w:ascii="GHEA Mariam" w:hAnsi="GHEA Mariam" w:cs="Sylfaen"/>
          <w:color w:val="000000" w:themeColor="text1"/>
          <w:lang w:val="hy-AM"/>
        </w:rPr>
        <w:t>ին</w:t>
      </w:r>
      <w:r>
        <w:rPr>
          <w:rFonts w:ascii="GHEA Mariam" w:hAnsi="GHEA Mariam"/>
          <w:color w:val="000000" w:themeColor="text1"/>
          <w:lang w:val="hy-AM"/>
        </w:rPr>
        <w:t xml:space="preserve"> </w:t>
      </w:r>
      <w:r>
        <w:rPr>
          <w:rFonts w:ascii="GHEA Mariam" w:hAnsi="GHEA Mariam" w:cs="Sylfaen"/>
          <w:color w:val="000000" w:themeColor="text1"/>
          <w:lang w:val="hy-AM"/>
        </w:rPr>
        <w:t>մասի</w:t>
      </w:r>
      <w:r>
        <w:rPr>
          <w:rFonts w:ascii="GHEA Mariam" w:hAnsi="GHEA Mariam"/>
          <w:color w:val="000000" w:themeColor="text1"/>
          <w:lang w:val="hy-AM"/>
        </w:rPr>
        <w:t xml:space="preserve"> 18</w:t>
      </w:r>
      <w:r>
        <w:rPr>
          <w:rFonts w:ascii="GHEA Mariam" w:hAnsi="GHEA Mariam"/>
          <w:color w:val="000000" w:themeColor="text1"/>
          <w:lang w:val="pt-BR"/>
        </w:rPr>
        <w:t>-</w:t>
      </w:r>
      <w:r>
        <w:rPr>
          <w:rFonts w:ascii="GHEA Mariam" w:hAnsi="GHEA Mariam" w:cs="Sylfaen"/>
          <w:color w:val="000000" w:themeColor="text1"/>
          <w:lang w:val="hy-AM"/>
        </w:rPr>
        <w:t>րդ</w:t>
      </w:r>
      <w:r>
        <w:rPr>
          <w:rFonts w:ascii="GHEA Mariam" w:hAnsi="GHEA Mariam"/>
          <w:color w:val="000000" w:themeColor="text1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lang w:val="hy-AM"/>
        </w:rPr>
        <w:t>կետով, հիմք ընդունելով</w:t>
      </w:r>
      <w:r>
        <w:rPr>
          <w:rFonts w:ascii="GHEA Mariam" w:hAnsi="GHEA Mariam"/>
          <w:color w:val="000000" w:themeColor="text1"/>
          <w:lang w:val="hy-AM"/>
        </w:rPr>
        <w:t xml:space="preserve"> Հայաստանի Հանրապետության կառավարության 2021 թվականի հուլիսի 15-ի N 1169-Ն որոշումը և հաշվի առնելով</w:t>
      </w:r>
      <w:r>
        <w:rPr>
          <w:rFonts w:ascii="GHEA Mariam" w:hAnsi="GHEA Mariam"/>
          <w:b/>
          <w:color w:val="000000" w:themeColor="text1"/>
          <w:lang w:val="hy-AM"/>
        </w:rPr>
        <w:t xml:space="preserve"> </w:t>
      </w:r>
      <w:r>
        <w:rPr>
          <w:rFonts w:ascii="GHEA Mariam" w:hAnsi="GHEA Mariam" w:cs="Sylfaen"/>
          <w:color w:val="000000" w:themeColor="text1"/>
          <w:lang w:val="hy-AM"/>
        </w:rPr>
        <w:t xml:space="preserve">Կապան համայնքի ղեկավարի առաջարկությունը, </w:t>
      </w:r>
      <w:r>
        <w:rPr>
          <w:rFonts w:ascii="GHEA Mariam" w:hAnsi="GHEA Mariam" w:cs="Sylfaen"/>
          <w:b/>
          <w:color w:val="000000" w:themeColor="text1"/>
          <w:lang w:val="hy-AM"/>
        </w:rPr>
        <w:t>Կապան համայնքի</w:t>
      </w:r>
      <w:r>
        <w:rPr>
          <w:rFonts w:ascii="GHEA Mariam" w:hAnsi="GHEA Mariam"/>
          <w:b/>
          <w:color w:val="000000" w:themeColor="text1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lang w:val="hy-AM"/>
        </w:rPr>
        <w:t>ավագանին</w:t>
      </w:r>
      <w:r>
        <w:rPr>
          <w:rFonts w:ascii="Calibri" w:hAnsi="Calibri" w:cs="Calibri"/>
          <w:color w:val="000000" w:themeColor="text1"/>
          <w:lang w:val="hy-AM"/>
        </w:rPr>
        <w:t> </w:t>
      </w:r>
      <w:r>
        <w:rPr>
          <w:rFonts w:ascii="GHEA Mariam" w:hAnsi="GHEA Mariam" w:cs="Sylfaen"/>
          <w:b/>
          <w:i/>
          <w:color w:val="000000" w:themeColor="text1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lang w:val="hy-AM"/>
        </w:rPr>
        <w:t>որոշում</w:t>
      </w:r>
      <w:r>
        <w:rPr>
          <w:rFonts w:ascii="Calibri" w:hAnsi="Calibri" w:cs="Calibri"/>
          <w:b/>
          <w:color w:val="000000" w:themeColor="text1"/>
          <w:lang w:val="hy-AM"/>
        </w:rPr>
        <w:t> </w:t>
      </w:r>
      <w:r>
        <w:rPr>
          <w:rFonts w:ascii="GHEA Mariam" w:hAnsi="GHEA Mariam"/>
          <w:b/>
          <w:color w:val="000000" w:themeColor="text1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lang w:val="hy-AM"/>
        </w:rPr>
        <w:t>է</w:t>
      </w:r>
      <w:r>
        <w:rPr>
          <w:rFonts w:ascii="GHEA Mariam" w:hAnsi="GHEA Mariam"/>
          <w:b/>
          <w:color w:val="000000" w:themeColor="text1"/>
          <w:lang w:val="hy-AM"/>
        </w:rPr>
        <w:t>.</w:t>
      </w:r>
    </w:p>
    <w:p w:rsidR="004B71E3" w:rsidRPr="0034521E" w:rsidRDefault="004B71E3" w:rsidP="004B71E3">
      <w:pPr>
        <w:spacing w:after="0"/>
        <w:ind w:firstLine="284"/>
        <w:contextualSpacing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Նախադպրոցական ուսումնական հաստատություն հաճախող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զինծառայող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ծնողի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ռազմական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գործողություններին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մասնակցած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ծնողի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երեխաների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պաշտպանության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մարտական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գործողություններին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մասնակցելու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հակառակորդի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շփման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գծում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մարտական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հերթապահության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հատուկ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առաջադրանք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ծառայողական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պարտականություններ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կատարելու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ընթացքում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հակառակորդի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նախահարձակ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գործողության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հետևանքով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զոհված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մահացած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պաշտպանության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մարտական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գործողություններին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մասնակցելու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հակառակորդի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շփման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գծում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մարտական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հերթապահության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հատուկ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առաջադրանք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ծառայողական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պարտականություններ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կատարելու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ժամանակ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անհայտ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կորելու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հետևանքով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դատական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կարգով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անհայտ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բացակայող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մահացած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ճանաչված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երեխաների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համար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սահմանել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վարձավճարի զեղչ՝ </w:t>
      </w:r>
      <w:r w:rsidRPr="0034521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100</w:t>
      </w:r>
      <w:r w:rsidRPr="0034521E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%</w:t>
      </w:r>
      <w:r w:rsidRPr="0034521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-ի չափով։</w:t>
      </w:r>
    </w:p>
    <w:p w:rsidR="004B71E3" w:rsidRPr="0034521E" w:rsidRDefault="004B71E3" w:rsidP="004B71E3">
      <w:pPr>
        <w:spacing w:after="0"/>
        <w:ind w:firstLine="284"/>
        <w:contextualSpacing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34521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</w:t>
      </w:r>
      <w:r w:rsidRPr="0034521E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4521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Սույն որոշման գործողությունը տարածվում է 2024 թվականի հունվարի 1-ից ծագած իրավահարաբերությունների վրա։</w:t>
      </w:r>
    </w:p>
    <w:p w:rsidR="00B64A18" w:rsidRDefault="004B71E3" w:rsidP="0034521E">
      <w:pPr>
        <w:spacing w:after="0"/>
        <w:ind w:firstLine="284"/>
        <w:contextualSpacing/>
        <w:jc w:val="both"/>
        <w:rPr>
          <w:rFonts w:ascii="GHEA Mariam" w:hAnsi="GHEA Mariam" w:cs="Arial"/>
          <w:sz w:val="24"/>
          <w:szCs w:val="24"/>
          <w:lang w:val="hy-AM"/>
        </w:rPr>
      </w:pPr>
      <w:r w:rsidRPr="0034521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3</w:t>
      </w:r>
      <w:r w:rsidRPr="0034521E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4521E">
        <w:rPr>
          <w:rFonts w:ascii="GHEA Mariam" w:hAnsi="GHEA Mariam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521E" w:rsidRPr="0034521E">
        <w:rPr>
          <w:rFonts w:ascii="GHEA Mariam" w:hAnsi="GHEA Mariam" w:cs="Arial"/>
          <w:sz w:val="24"/>
          <w:szCs w:val="24"/>
          <w:lang w:val="hy-AM"/>
        </w:rPr>
        <w:t>Սույն</w:t>
      </w:r>
      <w:r w:rsidR="0034521E" w:rsidRPr="0034521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521E" w:rsidRPr="0034521E">
        <w:rPr>
          <w:rFonts w:ascii="GHEA Mariam" w:hAnsi="GHEA Mariam" w:cs="Arial"/>
          <w:sz w:val="24"/>
          <w:szCs w:val="24"/>
          <w:lang w:val="hy-AM"/>
        </w:rPr>
        <w:t>որոշումն</w:t>
      </w:r>
      <w:r w:rsidR="0034521E" w:rsidRPr="0034521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521E" w:rsidRPr="0034521E">
        <w:rPr>
          <w:rFonts w:ascii="GHEA Mariam" w:hAnsi="GHEA Mariam" w:cs="Arial"/>
          <w:sz w:val="24"/>
          <w:szCs w:val="24"/>
          <w:lang w:val="hy-AM"/>
        </w:rPr>
        <w:t>ուժի</w:t>
      </w:r>
      <w:r w:rsidR="0034521E" w:rsidRPr="0034521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521E" w:rsidRPr="0034521E">
        <w:rPr>
          <w:rFonts w:ascii="GHEA Mariam" w:hAnsi="GHEA Mariam" w:cs="Arial"/>
          <w:sz w:val="24"/>
          <w:szCs w:val="24"/>
          <w:lang w:val="hy-AM"/>
        </w:rPr>
        <w:t>մեջ</w:t>
      </w:r>
      <w:r w:rsidR="0034521E" w:rsidRPr="0034521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521E" w:rsidRPr="0034521E">
        <w:rPr>
          <w:rFonts w:ascii="GHEA Mariam" w:hAnsi="GHEA Mariam" w:cs="Arial"/>
          <w:sz w:val="24"/>
          <w:szCs w:val="24"/>
          <w:lang w:val="hy-AM"/>
        </w:rPr>
        <w:t>է</w:t>
      </w:r>
      <w:r w:rsidR="0034521E" w:rsidRPr="0034521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521E" w:rsidRPr="0034521E">
        <w:rPr>
          <w:rFonts w:ascii="GHEA Mariam" w:hAnsi="GHEA Mariam" w:cs="Arial"/>
          <w:sz w:val="24"/>
          <w:szCs w:val="24"/>
          <w:lang w:val="hy-AM"/>
        </w:rPr>
        <w:t>մտնում</w:t>
      </w:r>
      <w:r w:rsidR="0034521E" w:rsidRPr="0034521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4521E" w:rsidRPr="0034521E">
        <w:rPr>
          <w:rFonts w:ascii="GHEA Mariam" w:hAnsi="GHEA Mariam" w:cs="Arial"/>
          <w:sz w:val="24"/>
          <w:szCs w:val="24"/>
          <w:lang w:val="hy-AM"/>
        </w:rPr>
        <w:t>պաշտոնական հրապարակմանը հաջորդող օրվանից։</w:t>
      </w:r>
    </w:p>
    <w:p w:rsidR="00F820D6" w:rsidRDefault="00F820D6" w:rsidP="00F820D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F820D6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820D6" w:rsidRDefault="00F820D6" w:rsidP="00F820D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F820D6" w:rsidRDefault="00F820D6" w:rsidP="00F820D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820D6" w:rsidRDefault="00F820D6" w:rsidP="00F820D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820D6" w:rsidRDefault="00F820D6" w:rsidP="00F820D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820D6" w:rsidRDefault="00F820D6" w:rsidP="00F820D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F820D6" w:rsidRPr="00F820D6" w:rsidRDefault="00F820D6" w:rsidP="00F820D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820D6" w:rsidRPr="00F820D6" w:rsidRDefault="00F820D6" w:rsidP="00F820D6">
      <w:pPr>
        <w:spacing w:after="0"/>
        <w:contextualSpacing/>
        <w:rPr>
          <w:lang w:val="hy-AM"/>
        </w:rPr>
      </w:pPr>
    </w:p>
    <w:p w:rsidR="00F820D6" w:rsidRDefault="00F820D6" w:rsidP="00F820D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F820D6" w:rsidRDefault="00F820D6" w:rsidP="00F820D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820D6" w:rsidRPr="0034521E" w:rsidRDefault="00F820D6" w:rsidP="0034521E">
      <w:pPr>
        <w:spacing w:after="0"/>
        <w:ind w:firstLine="284"/>
        <w:contextualSpacing/>
        <w:jc w:val="both"/>
        <w:rPr>
          <w:rStyle w:val="a5"/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sectPr w:rsidR="00F820D6" w:rsidRPr="0034521E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F99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521E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B71E3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0D6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9A95-30D8-4A73-8F79-E5FCF704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2024-03-27T11:20:00Z</cp:lastPrinted>
  <dcterms:created xsi:type="dcterms:W3CDTF">2015-08-10T13:28:00Z</dcterms:created>
  <dcterms:modified xsi:type="dcterms:W3CDTF">2024-03-27T11:21:00Z</dcterms:modified>
</cp:coreProperties>
</file>