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631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    Հավելված1</w:t>
      </w:r>
    </w:p>
    <w:p w14:paraId="706D40F7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2A622B35" w14:textId="1464AE15" w:rsidR="004133C5" w:rsidRDefault="003043A0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27 դեկտեմբերի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2024թ</w:t>
      </w:r>
    </w:p>
    <w:p w14:paraId="13206440" w14:textId="5240C5B6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185-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Ն  որոշման </w:t>
      </w:r>
    </w:p>
    <w:p w14:paraId="208A439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F0F4E3F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1</w:t>
      </w:r>
    </w:p>
    <w:p w14:paraId="19399E4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278F582" w14:textId="77777777" w:rsidR="004133C5" w:rsidRDefault="004133C5" w:rsidP="004133C5">
      <w:pPr>
        <w:spacing w:after="0" w:line="240" w:lineRule="auto"/>
        <w:jc w:val="center"/>
        <w:rPr>
          <w:rFonts w:ascii="GHEA Grapalat" w:eastAsia="Calibri" w:hAnsi="GHEA Grapalat" w:cs="Sylfaen"/>
          <w:b/>
          <w:bCs/>
          <w:lang w:val="hy-AM"/>
        </w:rPr>
      </w:pPr>
      <w:r>
        <w:rPr>
          <w:rFonts w:ascii="GHEA Grapalat" w:eastAsia="Calibri" w:hAnsi="GHEA Grapalat" w:cs="Sylfaen"/>
          <w:b/>
          <w:bCs/>
          <w:lang w:val="hy-AM"/>
        </w:rPr>
        <w:t>Հայաստանի Հանրապետության Սյունիքի մարզի Կապան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համայնքում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 xml:space="preserve">2025 թվականի համար 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>տեղական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տուրքերի և վճարների տեսակներն ու դրույքաչափերը</w:t>
      </w:r>
    </w:p>
    <w:p w14:paraId="056F6A86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Style w:val="a3"/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</w:tblGrid>
      <w:tr w:rsidR="004133C5" w14:paraId="50001563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8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ՏՈՒՐՔԵՐԻ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95F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Որոշմամբ սահմանված դրույքաչափը՝ այդ թվում բազային</w:t>
            </w:r>
          </w:p>
          <w:p w14:paraId="2CFBB94A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7825340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81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  1. 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կարգով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հաստատված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նախագծին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տեղադրման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)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թույլտվություն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չպահանջող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դեպքերի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3F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FF14583" w14:textId="77777777" w:rsidTr="004133C5">
        <w:trPr>
          <w:trHeight w:val="45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34B" w14:textId="77777777" w:rsidR="004133C5" w:rsidRDefault="004133C5" w:rsidP="004133C5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3BE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387470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85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համար՝</w:t>
            </w:r>
            <w:r w:rsidRPr="004133C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6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CBE4F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5C0B9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0236E810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7F8" w14:textId="77777777" w:rsidR="004133C5" w:rsidRDefault="004133C5">
            <w:pPr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՝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629F2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04F498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86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94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9E2F06C" w14:textId="77777777" w:rsidTr="004133C5">
        <w:trPr>
          <w:trHeight w:val="6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D9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C6A6A9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8860E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6FF93D6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7B66673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A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7C4FC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B6FD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2DDD84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63582C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6DE7F7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191FB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3BABCAF4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E9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0BDF1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1ED7B1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E98549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04F1C4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FB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AE6DC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1B6242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39633E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52EEA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2C9B6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033BB7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63EC3D8B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CBF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376B78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6C6B0B6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61A1876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0CD510C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E0623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C90AF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059852F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B3FEC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7742472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4B1613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69050991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C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02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3043A0" w14:paraId="60E2A0B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4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0B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D4E45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EA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F9BD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293E245D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B8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F94599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6EDE742F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F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37BC9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1207A22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09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1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EFE3E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54637AD0" w14:textId="77777777" w:rsidTr="004133C5">
        <w:trPr>
          <w:trHeight w:val="48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48B" w14:textId="77777777" w:rsidR="004133C5" w:rsidRDefault="004133C5" w:rsidP="004133C5">
            <w:pPr>
              <w:numPr>
                <w:ilvl w:val="0"/>
                <w:numId w:val="5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B71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D586F72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27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B4724A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354EA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–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2,0</w:t>
            </w:r>
          </w:p>
          <w:p w14:paraId="5BC6BB3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7209946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3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7BB71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2C8D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3E2A45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6B5DC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39DE06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5B0DE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2DF1C4A5" w14:textId="77777777" w:rsidTr="004133C5">
        <w:trPr>
          <w:trHeight w:val="31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66B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lastRenderedPageBreak/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</w:p>
          <w:p w14:paraId="2A0C5DB8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- 10-12-րդ գոտում կառուցվող շենքերի և շինությունների համար – գործակից՝ 3,0 </w:t>
            </w:r>
          </w:p>
          <w:p w14:paraId="3774342F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0002CED6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06C5A077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BF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89CC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65A60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439E35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7709D8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265704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415F4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75F74A55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64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2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համար` </w:t>
            </w:r>
          </w:p>
          <w:p w14:paraId="57F097EA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1) 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 60 հազար դրամ</w:t>
            </w:r>
          </w:p>
          <w:p w14:paraId="4400CB18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 ա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200-ից 500 քառակուսի մետր ընդհանուր մակերես ունեցող շենքերի և շինությունների համար` վաթսուն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14:paraId="6D7C1E73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- 10-12-րդ գոտում կառուցվող շենքերի և շինությունների համար – գործակից՝ 3,0 </w:t>
            </w:r>
          </w:p>
          <w:p w14:paraId="4DA90D9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697B8F1B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42DE78F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0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5C85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5787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B462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5397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7B36F3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BD98B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98B69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A1A05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D90E9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B4D0B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5BE3BC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0765A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CD3B2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06A216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28F88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180000</w:t>
            </w:r>
          </w:p>
          <w:p w14:paraId="17678B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A690C1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</w:t>
            </w:r>
          </w:p>
          <w:p w14:paraId="2B0158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DABE1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</w:tc>
      </w:tr>
      <w:tr w:rsidR="004133C5" w14:paraId="17BC4CD8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6E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բ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501-ից 1000 քառակուսի մետր ընդհանուր մակերես ունեցող շենքերի և շինությունների համար` 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D6DAC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38FD9DC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20A5BDF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176706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  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8D3F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64EB5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600000</w:t>
            </w:r>
          </w:p>
          <w:p w14:paraId="448D90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5F151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  <w:p w14:paraId="15C1B8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3C92C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200000</w:t>
            </w:r>
          </w:p>
        </w:tc>
      </w:tr>
      <w:tr w:rsidR="004133C5" w14:paraId="290ED99B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BF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1001-ից 3000 քառակուսի մետր ընդհանուր մակերես ունեցող շենքերի և շինությունների համար՝ 400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BF31F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2EC08B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04178C0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664CFA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A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5320D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209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1200000</w:t>
            </w:r>
          </w:p>
          <w:p w14:paraId="464B02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6BA2F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800000</w:t>
            </w:r>
          </w:p>
          <w:p w14:paraId="6FBC4EE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2D0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</w:tc>
      </w:tr>
      <w:tr w:rsidR="004133C5" w14:paraId="6083D02E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2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սույն կետով սահմանված՝ շենքի կամ շինության կառուցման վայրի գոտիականությանը համապատասխանող գոտիականության գործակցի արտադրյալը։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E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3043A0" w14:paraId="258215F9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D1F" w14:textId="77777777" w:rsidR="004133C5" w:rsidRDefault="004133C5">
            <w:pPr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3. Համայնքի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գոյություն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բարեկարգման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կարգով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հաստատված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նախագծով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983497D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F1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1) չի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երեք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95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842DB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77E683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  <w:p w14:paraId="613DBA99" w14:textId="77777777" w:rsidR="004133C5" w:rsidRDefault="004133C5">
            <w:pPr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</w:p>
          <w:p w14:paraId="182C60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457672A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42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2) 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տրամաչափային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E3F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3043A0" w14:paraId="33AD8741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EE7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3) 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նկատմամբ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D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059E7B0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D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քաղաքաշինական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C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2689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37B68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659BD398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F6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5.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1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B2D8FF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DF9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37B4069C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3F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6.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4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785F84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9922C2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4EDF4E7B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94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7.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5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6945AE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47105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53D48071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00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E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992BC8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D5653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3F40335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72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9.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7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276986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C1936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08CB12A5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D3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10.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2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09BFA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AF45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A8CC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4FDA2569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6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11.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վաթսուն հազար դրամ՝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7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3BB9A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26D58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72EDB18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BA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քսան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6C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CA79F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597CFC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0AC7C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9E155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A6CAD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C027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C460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2A5DEE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0658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9550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CA2A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39783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C6177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77E4A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42765342" w14:textId="77777777" w:rsidTr="004133C5">
        <w:trPr>
          <w:trHeight w:val="10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32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թանկարժեք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մետաղներից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պատրաստված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որոշակի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հիսուն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68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1B045E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5A63C69D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87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ոգելից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ալկոհոլային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խմիչքի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14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6DCDF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59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A2C6D6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6E14E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7B24F83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AC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400000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0E29E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D69FA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75C5794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  <w:p w14:paraId="33CB92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3B4D23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AF2904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18319B4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D7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BD5D73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55AE378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7958BF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C9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1B2DA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12000</w:t>
            </w:r>
          </w:p>
          <w:p w14:paraId="456BEACC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81B5F43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22854D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60AD65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</w:t>
            </w:r>
          </w:p>
          <w:p w14:paraId="37E8CE0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3521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6000</w:t>
            </w:r>
          </w:p>
          <w:p w14:paraId="06403F9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9D45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3600</w:t>
            </w:r>
          </w:p>
        </w:tc>
      </w:tr>
      <w:tr w:rsidR="004133C5" w14:paraId="6886263C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B2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DE7A3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A6FF4C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40E0DD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C7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02C80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18000</w:t>
            </w:r>
          </w:p>
          <w:p w14:paraId="564418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D78DE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0BD0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27000</w:t>
            </w:r>
          </w:p>
          <w:p w14:paraId="6D4232D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FA671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</w:t>
            </w:r>
          </w:p>
          <w:p w14:paraId="4F536EC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CEA46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5400</w:t>
            </w:r>
          </w:p>
        </w:tc>
      </w:tr>
      <w:tr w:rsidR="004133C5" w14:paraId="6C55B5A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0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96DE13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7765437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2D9C8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C0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C3A6A1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68045F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C32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853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1106FF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36000</w:t>
            </w:r>
          </w:p>
          <w:p w14:paraId="2EA44A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DBF53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645A13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E9885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277D4DD7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8D2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500ED2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3F96B3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1373260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36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19D86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40000</w:t>
            </w:r>
          </w:p>
          <w:p w14:paraId="334F27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A13E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F610E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  <w:p w14:paraId="1CF38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56C438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6568433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BE7DB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8CCE5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4133C5" w14:paraId="0836C39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A9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մեկ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14258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</w:p>
          <w:p w14:paraId="093FBD6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-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D52F14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76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48C80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  <w:p w14:paraId="1D30B8D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3034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157F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  <w:p w14:paraId="07200D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A746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  <w:p w14:paraId="7356E80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8110B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E47A5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4133C5" w14:paraId="2E71A7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2C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15.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փոխարինիչների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նմանակների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7F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DBAC6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9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A0CF11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</w:p>
          <w:p w14:paraId="2D88C56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730920E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7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764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4C8F9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0EB5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085CE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6EDFFA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19C4F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491F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509D987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07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CB46A7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0648E1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CAC4A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5D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AF5D8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12000</w:t>
            </w:r>
          </w:p>
          <w:p w14:paraId="446F90A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70C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382CD3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1C07FEF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CD1BD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</w:t>
            </w:r>
          </w:p>
          <w:p w14:paraId="4CB257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C1A9D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0B1E173B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9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7CE3FB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E707CB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6C6E769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CF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99A5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14000</w:t>
            </w:r>
          </w:p>
          <w:p w14:paraId="501AEE1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42BC5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E573D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21000</w:t>
            </w:r>
          </w:p>
          <w:p w14:paraId="43D1A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938C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7000</w:t>
            </w:r>
          </w:p>
          <w:p w14:paraId="237133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8D0BE3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4133C5" w14:paraId="4C184AF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E5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DF79A6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EEA4E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5DE01CA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A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0F68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4C38FC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3A972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FC5B44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33000</w:t>
            </w:r>
          </w:p>
          <w:p w14:paraId="5EA193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A97C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3C1276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B5DE4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1F0E3F5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A2376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85AFC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2CB5C76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1C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6F9F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26000</w:t>
            </w:r>
          </w:p>
          <w:p w14:paraId="5F4DE8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ACDD3A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DC6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39000</w:t>
            </w:r>
          </w:p>
          <w:p w14:paraId="3DED2B8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AB8C5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13000</w:t>
            </w:r>
          </w:p>
          <w:p w14:paraId="2632FB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CD63D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7800</w:t>
            </w:r>
          </w:p>
        </w:tc>
      </w:tr>
      <w:tr w:rsidR="004133C5" w14:paraId="62E2341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5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D1D76A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E5CE7C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D34058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4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BA39F0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46000</w:t>
            </w:r>
          </w:p>
          <w:p w14:paraId="1F18057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95813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D8BDC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69000</w:t>
            </w:r>
          </w:p>
          <w:p w14:paraId="39859EF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62F2A3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23000</w:t>
            </w:r>
          </w:p>
          <w:p w14:paraId="6A734F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4B73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13800</w:t>
            </w:r>
          </w:p>
        </w:tc>
      </w:tr>
      <w:tr w:rsidR="004133C5" w14:paraId="2C8BC86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05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անհատ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ձեռնարկատերերին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«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բացօթյա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երեք հարյուր հիսուն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9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6EBBD8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CD2582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4133C5" w14:paraId="6D05E19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5C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խաղատներին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ժամը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24.00-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DA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6D0CB1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30CCC4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6E084E29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1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հազարից մինչև 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E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50000</w:t>
            </w:r>
          </w:p>
        </w:tc>
      </w:tr>
      <w:tr w:rsidR="004133C5" w14:paraId="6271CBF4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FF9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քսանհինգ հազարից մինչև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EA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4133C5" w14:paraId="37878263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B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բաղնիքների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սաունաների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հազարից մինչև հինգ 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1B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</w:tc>
      </w:tr>
      <w:tr w:rsidR="004133C5" w14:paraId="63240141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8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հարյուր հազարից մինչև մեկ միլիոն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7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68FAC51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9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հիսուն հազարից մինչև հինգ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735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1097920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B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հարյուր հիսուն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B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225000</w:t>
            </w:r>
          </w:p>
        </w:tc>
      </w:tr>
      <w:tr w:rsidR="004133C5" w14:paraId="73DE67AD" w14:textId="77777777" w:rsidTr="004133C5">
        <w:trPr>
          <w:trHeight w:val="16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31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կանոններին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)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տուրքը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E6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C4EDD90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E4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ներսում՝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8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46EFF498" w14:textId="77777777" w:rsidTr="004133C5">
        <w:trPr>
          <w:trHeight w:val="7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FFE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երեք հազար դրամից մինչև 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59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3208FF2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F4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հինգ հազար մեկ դրամից մինչև տասը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C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15000</w:t>
            </w:r>
          </w:p>
        </w:tc>
      </w:tr>
      <w:tr w:rsidR="004133C5" w14:paraId="530A184C" w14:textId="77777777" w:rsidTr="004133C5">
        <w:trPr>
          <w:trHeight w:val="5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D27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տասը հազար մեկ դրամից մինչև տասնհինգ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B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DBC7C9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230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տասնհինգ հազար մեկ դրամից մինչև քսան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8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127C1291" w14:textId="77777777" w:rsidTr="004133C5">
        <w:trPr>
          <w:trHeight w:val="51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15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քսան հազար մեկ դրամից մինչև երեսուն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4133C5" w14:paraId="75FBC360" w14:textId="77777777" w:rsidTr="004133C5">
        <w:trPr>
          <w:trHeight w:val="62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ABC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երեսուն հազար մեկ դրամից մինչև հիսուն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247125E9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3EA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  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ոչ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հիմնական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շինությունների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ներսում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B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1755AD1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A5D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հինգ հարյուր դրամից մինչև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7AA9ECAB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D9F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հազար մեկ դրամից մինչև երկու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515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04D6F478" w14:textId="77777777" w:rsidTr="004133C5">
        <w:trPr>
          <w:trHeight w:val="5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97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երկու հազար մեկ դրամից մինչև չորս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E7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51945CCA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80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 չորս հազար մեկ դրամից մինչև ութ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2C547F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85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ութ հազար մեկ դրամից մինչև տասնհինգ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4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2D187168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F3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տասնհինգ հազար մեկ դրամից մինչև քսանհինգ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60DC1D07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2D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highlight w:val="yellow"/>
                <w:lang w:val="hy-AM" w:eastAsia="ru-RU"/>
              </w:rPr>
            </w:pPr>
            <w:r w:rsidRPr="003043A0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3043A0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9.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Քաղաքային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որոշմամբ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տնային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կենդանիներ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պահելու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օրացուցային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տարվա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հինգ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հազար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դրամ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DE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557E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7500</w:t>
            </w:r>
          </w:p>
        </w:tc>
      </w:tr>
      <w:tr w:rsidR="004133C5" w14:paraId="6976E8B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7E8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20.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կարգին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պայմաններին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համապատասխան՝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համայնքի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վարչական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տարածքում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բացառությամբ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սահմաններից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դուրս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գտնվող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պետական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lastRenderedPageBreak/>
              <w:t>նշանակության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ավտոմոբիլային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ճանապարհների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օտարման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շերտերում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պաշտպանական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գոտիներում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յուրաքանչյուր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ամիս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մեկ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մետրի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A2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15C5D5D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417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 w:eastAsia="ru-RU"/>
              </w:rPr>
              <w:t xml:space="preserve">      1)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երկու հազար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C3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4133C5" w14:paraId="573CD43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80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2)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թունդ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երեք հազար հինգ հարյուր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00E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4133C5" w14:paraId="7AABBC9A" w14:textId="77777777" w:rsidTr="004133C5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F8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սոցիալական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զրո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B46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133C5" w14:paraId="6BDB78A9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76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` հազար հինգ հարյուր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CE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4133C5" w14:paraId="36B9584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35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դատարկ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վահանակների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համայնքի վարչական տարածքում այլ արտաքին գովազդ տեղադրելու թույլտվության համար սահմանված տուրքի 25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8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375</w:t>
            </w:r>
          </w:p>
        </w:tc>
      </w:tr>
      <w:tr w:rsidR="004133C5" w14:paraId="675C975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5C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գովազդակիրը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տեղաբաշխել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գովազդը՝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համայնքի վարչական տարածքում այլ արտաքին գովազդ տեղադրելու թույլտվության համար սահմանված տուրքի 10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4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4133C5" w14:paraId="028D4E1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B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խորհրդանիշները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զինանշանը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գրանցված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կատարման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գործընթացներում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ֆիրմային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D06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05C5DE1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12E5522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</w:tr>
      <w:tr w:rsidR="004133C5" w14:paraId="7849EF6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9A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22.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մարդատար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երթուղային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տաքսիների՝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միկրոավտոբուսների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մեքենայի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տասը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57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3BC425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</w:p>
        </w:tc>
      </w:tr>
      <w:tr w:rsidR="004133C5" w14:paraId="3751B31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1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23.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հոգեհանգստի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հրաժեշտի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ծիսակատարության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հարյուր հազար դրամ – գործակից՝ 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B4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9268F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4133C5" w14:paraId="6DD4291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97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մասնավոր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C30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AB2719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8E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1) 3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 հինգ հարյուր հազար դրամ –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15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750000</w:t>
            </w:r>
          </w:p>
        </w:tc>
      </w:tr>
      <w:tr w:rsidR="004133C5" w14:paraId="383AD27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9C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հինգ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A6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1500000</w:t>
            </w:r>
          </w:p>
        </w:tc>
      </w:tr>
      <w:tr w:rsidR="004133C5" w14:paraId="77679E5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F5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3)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յոթ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29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2100000</w:t>
            </w:r>
          </w:p>
        </w:tc>
      </w:tr>
      <w:tr w:rsidR="004133C5" w14:paraId="203F76A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8E0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4)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տասը միլիոն դրամ -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33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3000000</w:t>
            </w:r>
          </w:p>
        </w:tc>
      </w:tr>
      <w:tr w:rsidR="004133C5" w14:paraId="0A169F9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E0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3A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C5539E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2ED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կարաոկեի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դիսկոտեկի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շոգեբաղնիքի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բուժական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տասը հազարից մինչև քսան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89F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4133C5" w14:paraId="2E5BE16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204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հեստապարային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ակումբի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երեք հարյուր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E8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450000</w:t>
            </w:r>
          </w:p>
        </w:tc>
      </w:tr>
      <w:tr w:rsidR="004133C5" w14:paraId="30E58B1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F6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Իրավաբանական անձանց և անհատ ձեռնարկատերերին համայնքի վարչական տարածքում «Առևտրի և ծառայություների մասին»  Հայաստանի Հանրապետության օրենքով սահմանված շրջիկ առևտրի կետի միջոցով վաճառքի կազմակերպման  կամ ծառայության մատուցման թույլտվության համար յուրաքանչյուր ամսվա համար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քսան հազարից մինչև հիսուն հազար ՀՀ դրամ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F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5BDE42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40000</w:t>
            </w:r>
          </w:p>
        </w:tc>
      </w:tr>
      <w:tr w:rsidR="004133C5" w14:paraId="07910D91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D8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հարակից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ձմեռային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նոյեմբերի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սեզոններին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(տասը) հազար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9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9B0329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10000</w:t>
            </w:r>
          </w:p>
        </w:tc>
      </w:tr>
    </w:tbl>
    <w:p w14:paraId="62C2372F" w14:textId="77777777" w:rsidR="004133C5" w:rsidRDefault="004133C5" w:rsidP="004133C5">
      <w:pPr>
        <w:spacing w:after="0" w:line="276" w:lineRule="auto"/>
        <w:ind w:left="-709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FCBF92A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5F229A18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D7E82C1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96AFF82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8D8C616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F342C1B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6B0E0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A98C210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159911E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420F34F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F22D52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657D62A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2BFEE7D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E6564B1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lastRenderedPageBreak/>
        <w:t>Հավելված1</w:t>
      </w:r>
    </w:p>
    <w:p w14:paraId="62D48888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0E86A60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&lt;&lt;&gt;&gt; 2024թ</w:t>
      </w:r>
    </w:p>
    <w:p w14:paraId="5E9BD4C6" w14:textId="77777777" w:rsidR="004133C5" w:rsidRDefault="004133C5" w:rsidP="004133C5">
      <w:pPr>
        <w:spacing w:after="200" w:line="276" w:lineRule="auto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     Ն  որոշման </w:t>
      </w:r>
    </w:p>
    <w:p w14:paraId="1B3E8A4C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2</w:t>
      </w:r>
    </w:p>
    <w:p w14:paraId="494C3B55" w14:textId="77777777" w:rsidR="004133C5" w:rsidRDefault="004133C5" w:rsidP="004133C5">
      <w:pPr>
        <w:spacing w:after="200" w:line="276" w:lineRule="auto"/>
        <w:jc w:val="center"/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  <w:t>Կապան համայնքում տեղական վճարների տեսակներն ու դրույքաչափերը</w:t>
      </w:r>
    </w:p>
    <w:tbl>
      <w:tblPr>
        <w:tblStyle w:val="a3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3"/>
        <w:gridCol w:w="29"/>
        <w:gridCol w:w="2126"/>
      </w:tblGrid>
      <w:tr w:rsidR="004133C5" w14:paraId="272000BB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0E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ՎՃԱՐՆԵՐԻ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5D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ԴՐՈՒՅՔԱՉԱՓԸ</w:t>
            </w:r>
          </w:p>
          <w:p w14:paraId="4956EF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34AE2932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D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տեսքը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փոփոխող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կատարելու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կապված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տեխնիկատնտեսական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հաստատելու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0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A4E9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</w:t>
            </w:r>
          </w:p>
        </w:tc>
      </w:tr>
      <w:tr w:rsidR="004133C5" w14:paraId="3FDC2ED1" w14:textId="77777777" w:rsidTr="004133C5">
        <w:trPr>
          <w:trHeight w:val="45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AAF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պահանջող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բոլոր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իրականացնելուց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ուժեղացումը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արդիականացումը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ընդլայնումն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բարեկարգումը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ակտով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փաստագրման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50A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36D5D0C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5977E7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7000</w:t>
            </w:r>
          </w:p>
        </w:tc>
      </w:tr>
      <w:tr w:rsidR="004133C5" w14:paraId="195EAC23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49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3.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F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EBF3B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7DCDA42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3B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4.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 թույլտվություն /ճարտարապետահատակագծային առաջադրանք/ կազմելու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5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58B14B71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D9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)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D02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0786BA6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67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2B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2EAD6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  <w:p w14:paraId="462B55C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70B2585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4E9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C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D23C7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C5" w14:paraId="1988FC7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0F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E0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3DDF8FB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87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BC27DD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62223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2C800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DD0005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6E8E0E6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CA86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87EF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47FC3A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25A26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4776E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7730D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4112B839" w14:textId="77777777" w:rsidTr="004133C5">
        <w:trPr>
          <w:trHeight w:val="690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0D3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BB1A7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7D33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433F3B95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6BDDAD7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42E3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A25B8C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42F262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FD686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43EFAD2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D3B6A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281618F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3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2A25D8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9E9E5F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5D2744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4683E51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89992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68A85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1B3C94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0EF46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1EC2AE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AEDB0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59D3012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7F4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2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3043A0" w14:paraId="156E19E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184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5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FD3298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FC8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F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B3BA4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7C23C59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C91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7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C24D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402B508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F5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A6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E0F689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03ED576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1A51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86709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7B3F6C89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A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8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1E994B0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3C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985152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2188C7D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1768558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8A71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E5C9D1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203F0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6C31E49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11C3C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4344D1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17461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0529EE6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9E8B9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661D14E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- 10-12-րդ գոտում կառուցվող շենքերի և շինությունների համար – գործակից՝ 3,0 </w:t>
            </w:r>
          </w:p>
          <w:p w14:paraId="61A77DD8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- 13-16-րդ գոտում կառուցվող շենքերի և շինությունների համար – գործակից՝ 2,0</w:t>
            </w:r>
          </w:p>
          <w:p w14:paraId="71939F82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- 17-20-րդ գոտում կառուցվող շենքերի և շինությունների համար  – գործակից՝ 1,0</w:t>
            </w:r>
          </w:p>
          <w:p w14:paraId="475B287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C99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D1055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9A6C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5D32A9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A8A3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0FA8198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EE8D4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2FF3320B" w14:textId="77777777" w:rsidTr="004133C5">
        <w:trPr>
          <w:trHeight w:val="204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87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8E0D76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A4B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 5.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տնօրինության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ներքո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հողերը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հատկացնելու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վերցնելու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վարձակալության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դեպքերում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փաթեթի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նախապատրաստման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DD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2245BFE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1C8A7D1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21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6.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կազմակերպվող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մրցույթների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աճուրդների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մասնակցության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0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E48B61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55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մասնակցից՝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B1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5000</w:t>
            </w:r>
          </w:p>
          <w:p w14:paraId="3F8A0E0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B60A896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69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դիտորդից՝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26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</w:t>
            </w:r>
          </w:p>
          <w:p w14:paraId="49EEDB5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70F90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D7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      7.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տոնավաճառներին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վերնիսաժներին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մասնակցելու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lastRenderedPageBreak/>
              <w:t>ծառայությունների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CF0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075F85A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1000</w:t>
            </w:r>
          </w:p>
        </w:tc>
      </w:tr>
      <w:tr w:rsidR="004133C5" w14:paraId="55EDB728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8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սակայն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բնակավայրերից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գտնվող՝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պատվերով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կահավորված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ընտանեկան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գործնական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միջոցառումների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անցկացնելու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58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45479FCF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79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1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) մեծ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F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5000</w:t>
            </w:r>
          </w:p>
          <w:p w14:paraId="24434F5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711728E4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4E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2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</w:rPr>
              <w:t xml:space="preserve">փոքր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AB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000</w:t>
            </w:r>
          </w:p>
          <w:p w14:paraId="1255652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376BA1F8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FD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9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սեփականություն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հանդիսացող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պատմության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մշակույթի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հուշարձանների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ենթակայության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թանգարանների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մուտքի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չափով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GHEA Grapalat" w:eastAsia="Calibri" w:hAnsi="GHEA Grapalat" w:cs="Sylfaen"/>
                <w:sz w:val="24"/>
              </w:rPr>
              <w:t xml:space="preserve"> </w:t>
            </w:r>
          </w:p>
          <w:p w14:paraId="34692CC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20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64530B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</w:t>
            </w:r>
          </w:p>
        </w:tc>
      </w:tr>
      <w:tr w:rsidR="004133C5" w14:paraId="5F03FD22" w14:textId="77777777" w:rsidTr="004133C5">
        <w:trPr>
          <w:trHeight w:val="69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2B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 xml:space="preserve">     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աշխատակազմի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արխիվից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պատճեններ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F65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</w:rPr>
            </w:pPr>
          </w:p>
          <w:p w14:paraId="6BCE28E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1000</w:t>
            </w:r>
          </w:p>
        </w:tc>
      </w:tr>
      <w:tr w:rsidR="004133C5" w14:paraId="18E38675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73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գույքի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հասցեի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81A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1EDA09D2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77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1)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/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 xml:space="preserve">Վաչագան, Բաղաբուրջ, Բարաբաթում, Բեխ, Կավարտ, Արփիկ, Լենհանքեր, Աշոտավան, Շղարշիկ թաղամասերի/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C9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2C306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2D07C756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3B0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2</w:t>
            </w:r>
            <w:r>
              <w:rPr>
                <w:rFonts w:ascii="GHEA Grapalat" w:eastAsia="Calibri" w:hAnsi="GHEA Grapalat" w:cs="Sylfaen"/>
                <w:sz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Կապան համայնքում ընդգրկված գյուղերի և Կապան քաղաքի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>Վաչագան, Բաղաբուրջ, Բարաբաթում, Բեխ, Կավարտ, Արփիկ, Լենհանքեր, Աշոտավան, Շղարշիկ թաղամասերի համար՝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BD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6C12EC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2000</w:t>
            </w:r>
          </w:p>
        </w:tc>
      </w:tr>
      <w:tr w:rsidR="004133C5" w14:paraId="2279E92D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70A2E" w14:textId="77777777" w:rsidR="004133C5" w:rsidRDefault="004133C5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գրանցման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մարմնի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աշխատավայրից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</w:p>
          <w:p w14:paraId="57CE5BAE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FF0000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lang w:val="hy-AM"/>
              </w:rPr>
              <w:t>պետական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գրանցումները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կատարելու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դեպքում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տեղական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`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FFB4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6E7891A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color w:val="FF0000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30000</w:t>
            </w:r>
          </w:p>
        </w:tc>
      </w:tr>
      <w:tr w:rsidR="004133C5" w14:paraId="20AFA5DE" w14:textId="77777777" w:rsidTr="004133C5">
        <w:trPr>
          <w:trHeight w:val="211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E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67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399D8987" w14:textId="77777777" w:rsidTr="004133C5">
        <w:trPr>
          <w:trHeight w:val="20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B04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BF3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474DA0DB" w14:textId="77777777" w:rsidTr="004133C5">
        <w:trPr>
          <w:trHeight w:val="10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E26C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48360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642A6E90" w14:textId="77777777" w:rsidTr="004133C5">
        <w:trPr>
          <w:trHeight w:val="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C42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11064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2FABD083" w14:textId="77777777" w:rsidTr="004133C5">
        <w:trPr>
          <w:trHeight w:val="8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80E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BECC2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</w:tbl>
    <w:p w14:paraId="6D6AF639" w14:textId="77777777" w:rsidR="004133C5" w:rsidRDefault="004133C5" w:rsidP="004133C5">
      <w:p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>Աշխատակազմի քարտուղար                                        Ն</w:t>
      </w:r>
      <w:r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Շահնազարյան</w:t>
      </w:r>
    </w:p>
    <w:p w14:paraId="7148C38C" w14:textId="47F85C38" w:rsidR="00822953" w:rsidRPr="004133C5" w:rsidRDefault="00822953" w:rsidP="004133C5"/>
    <w:sectPr w:rsidR="00822953" w:rsidRPr="004133C5" w:rsidSect="004133C5">
      <w:head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D330C" w14:textId="77777777" w:rsidR="00E75804" w:rsidRDefault="00E75804">
      <w:pPr>
        <w:spacing w:after="0" w:line="240" w:lineRule="auto"/>
      </w:pPr>
      <w:r>
        <w:separator/>
      </w:r>
    </w:p>
  </w:endnote>
  <w:endnote w:type="continuationSeparator" w:id="0">
    <w:p w14:paraId="362618F5" w14:textId="77777777" w:rsidR="00E75804" w:rsidRDefault="00E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14979" w14:textId="77777777" w:rsidR="00E75804" w:rsidRDefault="00E75804">
      <w:pPr>
        <w:spacing w:after="0" w:line="240" w:lineRule="auto"/>
      </w:pPr>
      <w:r>
        <w:separator/>
      </w:r>
    </w:p>
  </w:footnote>
  <w:footnote w:type="continuationSeparator" w:id="0">
    <w:p w14:paraId="0B69D75F" w14:textId="77777777" w:rsidR="00E75804" w:rsidRDefault="00E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D82A" w14:textId="77777777" w:rsidR="004C5DC5" w:rsidRDefault="004C5DC5">
    <w:pPr>
      <w:pStyle w:val="a4"/>
      <w:rPr>
        <w:lang w:val="en-US"/>
      </w:rPr>
    </w:pPr>
  </w:p>
  <w:p w14:paraId="4E6CAD0E" w14:textId="77777777" w:rsidR="004C5DC5" w:rsidRPr="005A0C71" w:rsidRDefault="004C5DC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F37"/>
    <w:multiLevelType w:val="hybridMultilevel"/>
    <w:tmpl w:val="88CC6252"/>
    <w:lvl w:ilvl="0" w:tplc="DEEA3598">
      <w:start w:val="4"/>
      <w:numFmt w:val="decimal"/>
      <w:lvlText w:val="%1)"/>
      <w:lvlJc w:val="left"/>
      <w:pPr>
        <w:ind w:left="720" w:hanging="360"/>
      </w:pPr>
      <w:rPr>
        <w:rFonts w:ascii="Arial Unicode" w:hAnsi="Arial Unicode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FC0"/>
    <w:multiLevelType w:val="hybridMultilevel"/>
    <w:tmpl w:val="35961000"/>
    <w:lvl w:ilvl="0" w:tplc="BC1CF3E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456"/>
    <w:multiLevelType w:val="hybridMultilevel"/>
    <w:tmpl w:val="9B604AE2"/>
    <w:lvl w:ilvl="0" w:tplc="255C83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3"/>
    <w:rsid w:val="00006EC9"/>
    <w:rsid w:val="0001498F"/>
    <w:rsid w:val="00062E56"/>
    <w:rsid w:val="00074F1D"/>
    <w:rsid w:val="00083BA2"/>
    <w:rsid w:val="00085B7C"/>
    <w:rsid w:val="00095B7E"/>
    <w:rsid w:val="00110926"/>
    <w:rsid w:val="001109FC"/>
    <w:rsid w:val="00160DA9"/>
    <w:rsid w:val="00177AE7"/>
    <w:rsid w:val="001C4F84"/>
    <w:rsid w:val="001D3DC9"/>
    <w:rsid w:val="001D64D7"/>
    <w:rsid w:val="001E73DE"/>
    <w:rsid w:val="00220E32"/>
    <w:rsid w:val="002352D9"/>
    <w:rsid w:val="0025587D"/>
    <w:rsid w:val="00257229"/>
    <w:rsid w:val="0029700C"/>
    <w:rsid w:val="003043A0"/>
    <w:rsid w:val="0031407C"/>
    <w:rsid w:val="0034411A"/>
    <w:rsid w:val="00345220"/>
    <w:rsid w:val="00373B8F"/>
    <w:rsid w:val="00376DA9"/>
    <w:rsid w:val="003D0374"/>
    <w:rsid w:val="004133C5"/>
    <w:rsid w:val="0042093F"/>
    <w:rsid w:val="00491C3C"/>
    <w:rsid w:val="004B102B"/>
    <w:rsid w:val="004C5DC5"/>
    <w:rsid w:val="004D4ACC"/>
    <w:rsid w:val="00537728"/>
    <w:rsid w:val="005B23AA"/>
    <w:rsid w:val="005D2F26"/>
    <w:rsid w:val="005E50E1"/>
    <w:rsid w:val="005F3C9D"/>
    <w:rsid w:val="00613C22"/>
    <w:rsid w:val="00616692"/>
    <w:rsid w:val="00665D57"/>
    <w:rsid w:val="006B6191"/>
    <w:rsid w:val="006C27DC"/>
    <w:rsid w:val="006F06A3"/>
    <w:rsid w:val="006F3070"/>
    <w:rsid w:val="00712B8F"/>
    <w:rsid w:val="00760B2D"/>
    <w:rsid w:val="007E0EF6"/>
    <w:rsid w:val="00815551"/>
    <w:rsid w:val="00822953"/>
    <w:rsid w:val="0086555D"/>
    <w:rsid w:val="00894C95"/>
    <w:rsid w:val="008A67E3"/>
    <w:rsid w:val="008B10A6"/>
    <w:rsid w:val="008C579F"/>
    <w:rsid w:val="008D067E"/>
    <w:rsid w:val="009279DC"/>
    <w:rsid w:val="009319EB"/>
    <w:rsid w:val="009870E9"/>
    <w:rsid w:val="009B2A09"/>
    <w:rsid w:val="009C3C4B"/>
    <w:rsid w:val="009D65B2"/>
    <w:rsid w:val="009F37AB"/>
    <w:rsid w:val="00A341C1"/>
    <w:rsid w:val="00A75EEF"/>
    <w:rsid w:val="00AE130F"/>
    <w:rsid w:val="00B24A93"/>
    <w:rsid w:val="00B46665"/>
    <w:rsid w:val="00B56AE5"/>
    <w:rsid w:val="00BA6372"/>
    <w:rsid w:val="00BC121C"/>
    <w:rsid w:val="00BC6C56"/>
    <w:rsid w:val="00BC71DB"/>
    <w:rsid w:val="00BD6595"/>
    <w:rsid w:val="00C135E0"/>
    <w:rsid w:val="00C411DD"/>
    <w:rsid w:val="00C41C89"/>
    <w:rsid w:val="00C665FA"/>
    <w:rsid w:val="00C8684B"/>
    <w:rsid w:val="00CB1EA4"/>
    <w:rsid w:val="00CC2BC0"/>
    <w:rsid w:val="00CC48CA"/>
    <w:rsid w:val="00CD0F72"/>
    <w:rsid w:val="00CD70AB"/>
    <w:rsid w:val="00CE7844"/>
    <w:rsid w:val="00D00323"/>
    <w:rsid w:val="00D44C9A"/>
    <w:rsid w:val="00D74143"/>
    <w:rsid w:val="00DA63D6"/>
    <w:rsid w:val="00DC0B24"/>
    <w:rsid w:val="00DD3D6D"/>
    <w:rsid w:val="00DE5A18"/>
    <w:rsid w:val="00DF7377"/>
    <w:rsid w:val="00E06589"/>
    <w:rsid w:val="00E1570B"/>
    <w:rsid w:val="00E17F6C"/>
    <w:rsid w:val="00E53896"/>
    <w:rsid w:val="00E72DD4"/>
    <w:rsid w:val="00E75804"/>
    <w:rsid w:val="00EA64E2"/>
    <w:rsid w:val="00EF2A3E"/>
    <w:rsid w:val="00F22097"/>
    <w:rsid w:val="00F266F5"/>
    <w:rsid w:val="00F37BE6"/>
    <w:rsid w:val="00F82767"/>
    <w:rsid w:val="00FD50E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D1B2"/>
  <w15:docId w15:val="{3DCEDA49-4531-435E-8AD3-A5647FE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C3C"/>
  </w:style>
  <w:style w:type="table" w:styleId="a3">
    <w:name w:val="Table Grid"/>
    <w:basedOn w:val="a1"/>
    <w:uiPriority w:val="59"/>
    <w:rsid w:val="0049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C3C"/>
  </w:style>
  <w:style w:type="paragraph" w:styleId="a6">
    <w:name w:val="footer"/>
    <w:basedOn w:val="a"/>
    <w:link w:val="a7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C3C"/>
  </w:style>
  <w:style w:type="paragraph" w:styleId="a8">
    <w:name w:val="List Paragraph"/>
    <w:basedOn w:val="a"/>
    <w:uiPriority w:val="34"/>
    <w:qFormat/>
    <w:rsid w:val="00491C3C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74</cp:revision>
  <cp:lastPrinted>2024-12-27T12:56:00Z</cp:lastPrinted>
  <dcterms:created xsi:type="dcterms:W3CDTF">2023-10-30T06:51:00Z</dcterms:created>
  <dcterms:modified xsi:type="dcterms:W3CDTF">2024-12-27T13:01:00Z</dcterms:modified>
</cp:coreProperties>
</file>