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4A" w:rsidRPr="008E3EFF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en-US"/>
        </w:rPr>
      </w:pPr>
      <w:r>
        <w:rPr>
          <w:rStyle w:val="Strong"/>
          <w:rFonts w:ascii="GHEA Mariam" w:hAnsi="GHEA Mariam"/>
          <w:i/>
          <w:lang w:val="hy-AM"/>
        </w:rPr>
        <w:t>Նախագիծ</w:t>
      </w:r>
      <w:r w:rsidR="008E3EFF">
        <w:rPr>
          <w:rStyle w:val="Strong"/>
          <w:rFonts w:ascii="GHEA Mariam" w:hAnsi="GHEA Mariam"/>
          <w:i/>
          <w:lang w:val="en-US"/>
        </w:rPr>
        <w:t xml:space="preserve">  4</w:t>
      </w:r>
    </w:p>
    <w:p w:rsidR="00DB1D4A" w:rsidRPr="008E3EFF" w:rsidRDefault="00DB1D4A" w:rsidP="00DB1D4A">
      <w:pPr>
        <w:pStyle w:val="NoSpacing"/>
        <w:spacing w:before="0" w:beforeAutospacing="0" w:after="0" w:afterAutospacing="0"/>
        <w:ind w:firstLine="284"/>
        <w:jc w:val="center"/>
        <w:rPr>
          <w:lang w:val="en-US"/>
        </w:rPr>
      </w:pPr>
      <w:r>
        <w:rPr>
          <w:rStyle w:val="Strong"/>
          <w:rFonts w:ascii="GHEA Mariam" w:hAnsi="GHEA Mariam"/>
          <w:lang w:val="hy-AM"/>
        </w:rPr>
        <w:t>ՈՐՈՇՈՒՄ N  -</w:t>
      </w:r>
      <w:r>
        <w:rPr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lang w:val="hy-AM"/>
        </w:rPr>
        <w:t>&lt;&lt;___&gt;&gt; ___________ 2019թ.</w:t>
      </w:r>
    </w:p>
    <w:p w:rsidR="00DB1D4A" w:rsidRDefault="00DB1D4A" w:rsidP="00DB1D4A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ՀԱՍՏԱՏԵԼՈՒ ՄԱՍԻՆ</w:t>
      </w: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37-րդ հոդվածով և հաշվի առնելով համայնքի ղեկավարի առաջարկությունը,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համայնքի ավագանին                  ո ր ո շ ու 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1. 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9) 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10) 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11) 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12) 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13) «Արծվանիկի մանկապարտեզ» ՀՈԱԿ աշխատակիցների թվաքանակը, հաստիքացուցակը և պաշտոնային դրույքաչափերը` համաձայն N 13 հավելվածի: 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14) «Դավիթ Բեկի մանկապարտեզ» ՀՈԱԿ աշխատակիցների թվաքանակը, հաստիքացուցակը և պաշտոնային դրույքաչափերը` համաձայն N 14 հավելվածի: 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15) «Ծավի մանկապարտեզ» ՀՈԱԿ աշխատակիցների թվաքանակը, հաստիքացուցակը և պաշտոնային դրույքաչափերը` համաձայն N 15 հավելվածի: 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Courier New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16) «Սյունիքի մանկապարտեզ» ՀՈԱԿ աշխատակիցների թվաքանակը, հաստիքացուցակը և պաշտոնային դրույքաչափերը` համաձայն N 16 հավելվածի: 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 xml:space="preserve">17) «Կապան քաղաքի 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18) «Կապան քաղաքի թիվ 2 երաժշտական դպրոց» ՀՈԱԿ աշխատակիցների թվաքանակը, հաստիքացուցակը և պաշտոնային դրույքաչափերը` համաձայն N 18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19) «Կապան քաղաքի թիվ 3 երաժշտական դպրոց» ՀՈԱԿ աշխատակիցների թվաքանակը, հաստիքացուցակը և պաշտոնային դրույքաչափերը` համաձայն N 19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20) «Կապան քաղաքի արվեստի մանկական դպրոց» ՀՈԱԿ աշխատակիցների թվաքանակը, հաստիքացուցակը և պաշտոնային դրույքաչափերը` համաձայն N 20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21) «Կապան քաղաքի 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22)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23)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24) «Կապան քաղաքի 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25) «Կապան քաղաքի 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31) «Կապան քաղաքի 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33) «Կապանի արվեստի թանագրան» ՀՈԱԿ աշխատակիցների թվաքանակը, հաստիքացուցակը և պաշտոնային դրույքաչափերը` համաձայն N 33 հավելվածի։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 xml:space="preserve"> Որոշել կրթադաստիարակչական /մանկավարժական/ աշխատողներին ներկայացվող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հետևյալ մասնագիտական պահանջներն ու կարգերի դասակարգման չափորոշիչները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DB1D4A" w:rsidRDefault="00DB1D4A" w:rsidP="00DB1D4A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նախադպրոցական ուսումնական հաստատություններ՝</w:t>
      </w:r>
    </w:p>
    <w:p w:rsidR="00DB1D4A" w:rsidRDefault="00DB1D4A" w:rsidP="00DB1D4A">
      <w:pPr>
        <w:pStyle w:val="ListParagraph"/>
        <w:tabs>
          <w:tab w:val="num" w:pos="0"/>
          <w:tab w:val="num" w:pos="1620"/>
        </w:tabs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>I կարգ – բարձրագույն մասնագիտական կրթություն և 3 տարվա մանկավարժական ստաժ</w:t>
      </w:r>
    </w:p>
    <w:p w:rsidR="00DB1D4A" w:rsidRDefault="00DB1D4A" w:rsidP="00DB1D4A">
      <w:pPr>
        <w:pStyle w:val="ListParagraph"/>
        <w:tabs>
          <w:tab w:val="num" w:pos="0"/>
          <w:tab w:val="num" w:pos="1620"/>
        </w:tabs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II կարգ – բարձրագույն մասնագիտական կրթություն և մինչև 3 տարվա մանկավարժական ստաժ, կամ բարձրագույն ոչ մասնագիտական կրթություն և առնվազն 5 տարվա մանկավարժական ստաժ, կամ միջնակարգ մասնագիտական կրթություն և առնվազն 5 տարվա մանկավարժական ստաժ։ </w:t>
      </w:r>
    </w:p>
    <w:p w:rsidR="00DB1D4A" w:rsidRDefault="00DB1D4A" w:rsidP="00DB1D4A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Երաժշտական, արվեստի, գեղարվեստի դպրոցներ և մարզադպրոցներ՝ </w:t>
      </w:r>
    </w:p>
    <w:p w:rsidR="00DB1D4A" w:rsidRDefault="00DB1D4A" w:rsidP="00DB1D4A">
      <w:pPr>
        <w:pStyle w:val="ListParagraph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I կարգ – բարձրագույն մասնագիտական կրթություն և 15 տարվա մանկավարժական ստաժ</w:t>
      </w:r>
    </w:p>
    <w:p w:rsidR="00DB1D4A" w:rsidRDefault="00DB1D4A" w:rsidP="00DB1D4A">
      <w:pPr>
        <w:pStyle w:val="ListParagraph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II կարգ – բարձրագույն մասնագիտական կրություն և առնվազն  3-15 տարվա մանկավարժական ստաժ, կամ բարձրագույն ոչ մասնագիտական կրթություն և առնվազն 15 տարվա մանկավարժական ստաժ, կամ միջնակարգ մասնագիտական կրթություն և առնվազն 15 տարվա մանկավարժական ստաժ։ 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3. Սույն որոշումն ուժի մեջ  է մտնում 2020 թվականի հունվարի 1-ից:</w:t>
      </w:r>
    </w:p>
    <w:p w:rsid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4. Ուժը կորցրած ճանաչել Կապան համայնքի ավագանու 2018 թվականի դեկտեմբերի 10-ի «Կապան համայնքի համայնքային ոչ առևտրային կազմակերպությունների աշխատակիցների թվաքանակը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>հաստիքացուցակը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>և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>պաշտոնային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>դրույքաչափերը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>հաստատելու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/>
        </w:rPr>
        <w:t>մասին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» թիվ 117-Ա որոշումը, 2018 թվականի դեկտեմբերի 10-ի «Կապանի ՊԼԱՍՏՇԻՆ» համայնքային ոչ առևտրային կազմակերպություն ստեղծելու, կանոնադրությունը, աշխատողների քանակը, հաստիքացուցակը և պաշտոնային դրույքաչափերը հաստատելու մասին» թիվ 118-Ա որոշման 3-րդ կետով հաստատված N 2 հավելվածը և 2019 թվականի մարտի 29-ի «Կապանի արվեստի թանգարան» համայնքային ոչ առևտրային կազմակերպություն ստեղծելու, կանոնադրությունը, աշխատողների քանակը, հաստիքացուցակը և պաշտոնային դրույքա</w:t>
      </w:r>
      <w:r w:rsidR="0041016F">
        <w:rPr>
          <w:rFonts w:ascii="GHEA Mariam" w:eastAsia="Times New Roman" w:hAnsi="GHEA Mariam" w:cs="Sylfaen"/>
          <w:sz w:val="24"/>
          <w:szCs w:val="24"/>
          <w:lang w:val="hy-AM"/>
        </w:rPr>
        <w:t xml:space="preserve">չափերը հաստատելու մասին» թիվ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11-Ա որոշման 3-րդ կետով հաստատված N 2 հավելվածը: </w:t>
      </w:r>
    </w:p>
    <w:p w:rsidR="00DB1D4A" w:rsidRPr="00DB1D4A" w:rsidRDefault="00DB1D4A" w:rsidP="00DB1D4A">
      <w:pPr>
        <w:tabs>
          <w:tab w:val="num" w:pos="0"/>
          <w:tab w:val="num" w:pos="1620"/>
        </w:tabs>
        <w:spacing w:after="0" w:line="240" w:lineRule="auto"/>
        <w:ind w:firstLine="284"/>
        <w:contextualSpacing/>
        <w:jc w:val="both"/>
        <w:rPr>
          <w:rStyle w:val="Strong"/>
          <w:rFonts w:eastAsia="Calibri" w:cs="Times New Roman"/>
          <w:b w:val="0"/>
          <w:lang w:val="hy-AM" w:eastAsia="en-US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b/>
          <w:lang w:val="hy-AM"/>
        </w:rPr>
      </w:pPr>
      <w:r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DB1D4A" w:rsidRP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41016F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DB1D4A" w:rsidRPr="00DB1D4A" w:rsidRDefault="00DB1D4A" w:rsidP="00DB1D4A">
      <w:pPr>
        <w:pStyle w:val="NoSpacing"/>
        <w:spacing w:before="0" w:beforeAutospacing="0" w:after="0" w:afterAutospacing="0"/>
        <w:ind w:firstLine="284"/>
        <w:jc w:val="center"/>
        <w:rPr>
          <w:rFonts w:ascii="GHEA Grapalat" w:hAnsi="GHEA Grapalat" w:cs="GHEA Grapalat"/>
          <w:b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lastRenderedPageBreak/>
        <w:t>ՀԻՄՆԱՎՈՐՈՒՄ</w:t>
      </w: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DB1D4A" w:rsidRPr="00DB1D4A" w:rsidRDefault="00DB1D4A" w:rsidP="00DB1D4A">
      <w:pPr>
        <w:spacing w:after="0" w:line="240" w:lineRule="auto"/>
        <w:ind w:firstLine="284"/>
        <w:contextualSpacing/>
        <w:jc w:val="center"/>
        <w:rPr>
          <w:rStyle w:val="Strong"/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 ՀԱՍՏԱՏԵԼՈՒ ՄԱՍԻՆ</w:t>
      </w:r>
      <w:r>
        <w:rPr>
          <w:rFonts w:ascii="GHEA Mariam" w:hAnsi="GHEA Mariam"/>
          <w:b/>
          <w:sz w:val="24"/>
          <w:szCs w:val="24"/>
          <w:lang w:val="hy-AM"/>
        </w:rPr>
        <w:t>»</w:t>
      </w:r>
      <w:r>
        <w:rPr>
          <w:rStyle w:val="Strong"/>
          <w:rFonts w:ascii="GHEA Grapalat" w:hAnsi="GHEA Grapalat"/>
          <w:lang w:val="hy-AM"/>
        </w:rPr>
        <w:t xml:space="preserve">  </w:t>
      </w:r>
      <w:r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ԱՎԱԳԱՆՈՒ ՈՐՈՇՄԱՆ ՆԱԽԱԳԾԻ ԸՆԴՈՒՆՄԱՆ ԱՆՀՐԱԺԵՇՏՈՒԹՅԱՆ ՄԱՍԻՆ</w:t>
      </w: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center"/>
        <w:rPr>
          <w:rStyle w:val="Strong"/>
          <w:rFonts w:ascii="GHEA Grapalat" w:hAnsi="GHEA Grapalat"/>
          <w:lang w:val="hy-AM"/>
        </w:rPr>
      </w:pPr>
    </w:p>
    <w:p w:rsidR="00DB1D4A" w:rsidRPr="00DB1D4A" w:rsidRDefault="00DB1D4A" w:rsidP="00DB1D4A">
      <w:pPr>
        <w:pStyle w:val="NoSpacing"/>
        <w:spacing w:before="0" w:beforeAutospacing="0" w:after="0" w:afterAutospacing="0"/>
        <w:ind w:firstLine="284"/>
        <w:jc w:val="both"/>
        <w:rPr>
          <w:rFonts w:cs="GHEA Grapalat"/>
          <w:lang w:val="hy-AM"/>
        </w:rPr>
      </w:pPr>
    </w:p>
    <w:p w:rsidR="00DB1D4A" w:rsidRDefault="00DB1D4A" w:rsidP="00DB1D4A">
      <w:pPr>
        <w:ind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«Կապան համայնքի համայնքային ոչ առևտրային կազմակերպությունների  աշխատակիցների թվաքանակը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，</w:t>
      </w:r>
      <w:r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28)-րդ կետի պահաջները:</w:t>
      </w: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 w:cs="GHEA Grapalat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 w:cs="GHEA Grapalat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 w:cs="GHEA Grapalat"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ՏԵՂԵԿԱՆՔ</w:t>
      </w:r>
    </w:p>
    <w:p w:rsidR="00DB1D4A" w:rsidRDefault="00DB1D4A" w:rsidP="00DB1D4A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b/>
          <w:bCs/>
          <w:iCs/>
          <w:sz w:val="24"/>
          <w:szCs w:val="24"/>
          <w:lang w:val="hy-AM"/>
        </w:rPr>
        <w:t>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 ՀԱՍՏԱՏԵԼՈՒ ՄԱՍԻՆ</w:t>
      </w:r>
      <w:r>
        <w:rPr>
          <w:rFonts w:ascii="GHEA Mariam" w:eastAsia="Times New Roman" w:hAnsi="GHEA Mariam" w:cs="GHEA Grapalat"/>
          <w:b/>
          <w:bCs/>
          <w:iCs/>
          <w:sz w:val="24"/>
          <w:szCs w:val="24"/>
          <w:lang w:val="hy-AM"/>
        </w:rPr>
        <w:t xml:space="preserve">»  ԱՎԱԳԱՆՈՒ ՈՐՈՇՄԱՆ ՆԱԽԱԳԾԻ ԸՆԴՈՒՆՄԱՆ </w:t>
      </w:r>
      <w:r>
        <w:rPr>
          <w:rFonts w:ascii="GHEA Mariam" w:hAnsi="GHEA Mariam"/>
          <w:b/>
          <w:sz w:val="24"/>
          <w:szCs w:val="24"/>
          <w:lang w:val="hy-AM"/>
        </w:rPr>
        <w:t>ԿԱՊԱԿՑՈՒԹՅԱՄԲ ՀԱՄԱՅՆՔԻ ԲՅՈՒՋԵՈՒՄ ԵԿԱՄՈՒՏՆԵՐԻ ԵՎ ԾԱԽՍԵՐԻ ԱՎԵԼԱՑՄԱՆ ԿԱՄ ՆՎԱԶԵՑՄԱՆ ՄԱՍԻՆ</w:t>
      </w:r>
    </w:p>
    <w:p w:rsidR="00DB1D4A" w:rsidRDefault="00DB1D4A" w:rsidP="00DB1D4A">
      <w:pPr>
        <w:spacing w:after="0"/>
        <w:ind w:firstLine="284"/>
        <w:jc w:val="center"/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</w:pPr>
    </w:p>
    <w:p w:rsidR="00DB1D4A" w:rsidRDefault="00DB1D4A" w:rsidP="00DB1D4A">
      <w:pPr>
        <w:autoSpaceDE w:val="0"/>
        <w:autoSpaceDN w:val="0"/>
        <w:adjustRightInd w:val="0"/>
        <w:spacing w:after="0"/>
        <w:ind w:firstLine="284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«Կապան համայնքի համայնքային ոչ առևտրային կազմակերպությունների  աշխատակիցների թվաքանակը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ընդունմամբ</w:t>
      </w:r>
      <w:r>
        <w:rPr>
          <w:rFonts w:ascii="GHEA Mariam" w:hAnsi="GHEA Mariam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նոր հաստիքների ավելացմամբ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，</w:t>
      </w:r>
      <w:r>
        <w:rPr>
          <w:rFonts w:ascii="GHEA Grapalat" w:hAnsi="GHEA Grapalat"/>
          <w:sz w:val="24"/>
          <w:szCs w:val="24"/>
          <w:lang w:val="hy-AM"/>
        </w:rPr>
        <w:t xml:space="preserve"> կրճատմամբ և նվազագույն ամսական աշխատավարձի և աշխատավարձերի փոփոխությամբ պայմանավորված աշխատավարձի ֆոնդը կավելանա     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lang w:val="hy-AM"/>
        </w:rPr>
        <w:t>դրամով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DB1D4A" w:rsidRP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DB1D4A" w:rsidRDefault="00DB1D4A" w:rsidP="00DB1D4A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i/>
          <w:lang w:val="hy-AM"/>
        </w:rPr>
      </w:pPr>
    </w:p>
    <w:p w:rsidR="00FC129A" w:rsidRPr="00DB1D4A" w:rsidRDefault="00FC129A" w:rsidP="00DB1D4A">
      <w:pPr>
        <w:ind w:firstLine="284"/>
        <w:rPr>
          <w:lang w:val="hy-AM"/>
        </w:rPr>
      </w:pPr>
    </w:p>
    <w:sectPr w:rsidR="00FC129A" w:rsidRPr="00DB1D4A" w:rsidSect="00DB1D4A">
      <w:pgSz w:w="11906" w:h="16838"/>
      <w:pgMar w:top="709" w:right="424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AEE"/>
    <w:multiLevelType w:val="hybridMultilevel"/>
    <w:tmpl w:val="35DC80C4"/>
    <w:lvl w:ilvl="0" w:tplc="36C827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DB1D4A"/>
    <w:rsid w:val="0041016F"/>
    <w:rsid w:val="006E3D22"/>
    <w:rsid w:val="008E3EFF"/>
    <w:rsid w:val="00DB1D4A"/>
    <w:rsid w:val="00EF4A1E"/>
    <w:rsid w:val="00FC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B1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7123</Characters>
  <Application>Microsoft Office Word</Application>
  <DocSecurity>0</DocSecurity>
  <Lines>59</Lines>
  <Paragraphs>16</Paragraphs>
  <ScaleCrop>false</ScaleCrop>
  <Company>STFC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2019-11-26T08:15:00Z</cp:lastPrinted>
  <dcterms:created xsi:type="dcterms:W3CDTF">2019-11-26T08:13:00Z</dcterms:created>
  <dcterms:modified xsi:type="dcterms:W3CDTF">2019-11-27T10:16:00Z</dcterms:modified>
</cp:coreProperties>
</file>